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117038427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51160" y="3180910"/>
                          <a:ext cx="6589680" cy="1198180"/>
                        </a:xfrm>
                        <a:prstGeom prst="rect">
                          <a:avLst/>
                        </a:prstGeom>
                        <a:solidFill>
                          <a:srgbClr val="122B8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708.0000305175781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MÓDULO		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RÚBRICA DE EVALUACIÓN TAREA Nº2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222a35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50800</wp:posOffset>
                </wp:positionV>
                <wp:extent cx="6599205" cy="1207705"/>
                <wp:effectExtent b="0" l="0" r="0" t="0"/>
                <wp:wrapNone/>
                <wp:docPr id="117038427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205" cy="1207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117038427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44363" y="2977995"/>
                          <a:ext cx="1403274" cy="160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70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DLaM Display" w:cs="ADLaM Display" w:eastAsia="ADLaM Display" w:hAnsi="ADLaM Display"/>
                                <w:b w:val="1"/>
                                <w:i w:val="0"/>
                                <w:smallCaps w:val="0"/>
                                <w:strike w:val="0"/>
                                <w:color w:val="ff6701"/>
                                <w:sz w:val="144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63500</wp:posOffset>
                </wp:positionV>
                <wp:extent cx="1412799" cy="1613535"/>
                <wp:effectExtent b="0" l="0" r="0" t="0"/>
                <wp:wrapNone/>
                <wp:docPr id="117038427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799" cy="1613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117038427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54138" y="3654226"/>
                          <a:ext cx="3783724" cy="251548"/>
                        </a:xfrm>
                        <a:prstGeom prst="rect">
                          <a:avLst/>
                        </a:prstGeom>
                        <a:solidFill>
                          <a:srgbClr val="FF67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-1943099</wp:posOffset>
                </wp:positionH>
                <wp:positionV relativeFrom="paragraph">
                  <wp:posOffset>393700</wp:posOffset>
                </wp:positionV>
                <wp:extent cx="3793249" cy="261073"/>
                <wp:effectExtent b="0" l="0" r="0" t="0"/>
                <wp:wrapNone/>
                <wp:docPr id="117038427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3249" cy="2610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Poppins" w:cs="Poppins" w:eastAsia="Poppins" w:hAnsi="Poppins"/>
          <w:color w:val="222a35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color w:val="222a35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Poppins" w:cs="Poppins" w:eastAsia="Poppins" w:hAnsi="Poppins"/>
          <w:color w:val="222a35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sz w:val="24"/>
          <w:szCs w:val="24"/>
          <w:rtl w:val="0"/>
        </w:rPr>
        <w:t xml:space="preserve">OBJETIVO MÓDULO </w:t>
      </w:r>
      <w:r w:rsidDel="00000000" w:rsidR="00000000" w:rsidRPr="00000000">
        <w:rPr>
          <w:rFonts w:ascii="Poppins" w:cs="Poppins" w:eastAsia="Poppins" w:hAnsi="Poppins"/>
          <w:color w:val="212a35"/>
          <w:sz w:val="24"/>
          <w:szCs w:val="24"/>
          <w:rtl w:val="0"/>
        </w:rPr>
        <w:t xml:space="preserve">Describir las estrategias  de gestión por competencias que se aplican durante el proceso de evaluación de desempeño.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Poppins" w:cs="Poppins" w:eastAsia="Poppins" w:hAnsi="Poppins"/>
          <w:color w:val="222a35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DESTACADO: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3PTS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BUENO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2PTS 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ACEPTABLE: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 1PTS I</w:t>
      </w:r>
      <w:r w:rsidDel="00000000" w:rsidR="00000000" w:rsidRPr="00000000">
        <w:rPr>
          <w:rFonts w:ascii="Poppins" w:cs="Poppins" w:eastAsia="Poppins" w:hAnsi="Poppins"/>
          <w:b w:val="1"/>
          <w:color w:val="222a35"/>
          <w:sz w:val="24"/>
          <w:szCs w:val="24"/>
          <w:rtl w:val="0"/>
        </w:rPr>
        <w:t xml:space="preserve">NSUFICIENTE</w:t>
      </w:r>
      <w:r w:rsidDel="00000000" w:rsidR="00000000" w:rsidRPr="00000000">
        <w:rPr>
          <w:rFonts w:ascii="Poppins" w:cs="Poppins" w:eastAsia="Poppins" w:hAnsi="Poppins"/>
          <w:color w:val="222a35"/>
          <w:sz w:val="24"/>
          <w:szCs w:val="24"/>
          <w:rtl w:val="0"/>
        </w:rPr>
        <w:t xml:space="preserve">: 0PTS</w:t>
      </w:r>
    </w:p>
    <w:tbl>
      <w:tblPr>
        <w:tblStyle w:val="Table1"/>
        <w:tblpPr w:leftFromText="141" w:rightFromText="141" w:topFromText="0" w:bottomFromText="0" w:vertAnchor="text" w:horzAnchor="text" w:tblpX="0" w:tblpY="266"/>
        <w:tblW w:w="9881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587"/>
        <w:gridCol w:w="1586"/>
        <w:gridCol w:w="1915"/>
        <w:gridCol w:w="1725"/>
        <w:gridCol w:w="1855"/>
        <w:gridCol w:w="1213"/>
        <w:tblGridChange w:id="0">
          <w:tblGrid>
            <w:gridCol w:w="1587"/>
            <w:gridCol w:w="1586"/>
            <w:gridCol w:w="1915"/>
            <w:gridCol w:w="1725"/>
            <w:gridCol w:w="1855"/>
            <w:gridCol w:w="12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DESTACADO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BUENO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ACEPTABLE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INSUFICIENTE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Poppins" w:cs="Poppins" w:eastAsia="Poppins" w:hAnsi="Poppins"/>
                <w:b w:val="1"/>
                <w:color w:val="ffffff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color w:val="ffffff"/>
                <w:rtl w:val="0"/>
              </w:rPr>
              <w:t xml:space="preserve">PUNTAJE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Identificación de las brechas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Identifica con precisión y de manera exhaustiva las brechas entre las habilidades y conocimientos actuales de los empleados y los requisitos del puesto, utilizando una variedad de métodos de recopilación de datos.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Identifica las brechas de manera adecuada, aunque podría haber más detalle o profundidad en su análisis. Se utilizan métodos efectivos para la recopilación de datos.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Identifica algunas brechas entre habilidades y conocimientos, pero el análisis es superficial o limitado. Se utilizan métodos básicos de recopilación de datos.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no identifica adecuadamente las brechas entre habilidades y conocimientos, o no utiliza métodos efectivos de recopilación de datos.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Definición de la Meta Estratégica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La meta estratégica de la organización se define de manera clara, específica y relevante para el proceso de formación. Se demuestra una comprensión profunda de cómo la formación contribuirá a alcanzar esta meta.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7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La meta estratégica de la organización se define de manera adecuada, aunque podría haber más claridad o detalle en su formulación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8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La definición de la meta estratégica es limitada o vaga, y la conexión con la formación no está completamente articulada. |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La meta estratégica no está definida o no está relacionada de manera clara con el proceso de formación.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spacing w:after="28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Establecimiento de Objetivos de Formación e instrumentos 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Establece cinco objetivos claros, específicos, medibles, alcanzables, relevantes y con un plazo definido (SMART) que la formación debe cumplir. Define un instrumento de recolección y análisis de datos apropiado y efectivo.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Establece cinco objetivos adecuados para la formación, aunque podría haber una mayor especificidad o claridad en su formulación. Los objetivos están en su mayoría alineados con las necesidades de formación identificadas y las metas estratégicas de la organización. selecciona un instrumento básico para la recolección de datos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Establece objetivos básicos para la formación, pero la formulación es limitada o los objetivos no están completamente alineados con las necesidades de formación identificadas y las metas estratégicas de la organización. La selección del instrumento de recolección de datos no es apropiada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0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Los objetivos de formación no están alineados con las necesidades de formación identificadas y las metas estratégicas de la organización. No son apropiados los instrumentos.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1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2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Instrumento de Recolección y Análisis de Datos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Se demuestra una comprensión profunda de cómo el plan de formación abordará las necesidades identificadas y contribuirá a alcanzar las metas estratégicas de la organización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Describe adecuadamente el diseño del plan de formación, aunque podría haber más detalle o especificidad en la descripción de los recursos y capacitaciones necesarios.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La descripción del diseño del plan de formación es limitada o superficial, y la conexión con las necesidades identificadas y las metas estratégicas de la organización no está completamente articulada.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La descripción del diseño del plan de formación es insuficiente o inexistente, y no se establece claramente cómo el plan de formación abordará las necesidades identificadas y contribuirá a alcanzar las metas estratégicas de la organización.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7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Estructura,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Las respuestas están bien estructuradas, con un uso correcto de la ortografía y redacción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Las respuestas están medianamente estructuradas, con algunos errores ortográficos o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Las respuestas están básicamente estructuradas, con muchas faltas ortográficas y de redacción.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Cumplimiento de fechas de entrega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Responde dentro de la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Responde con 2 días de atraso, según fecha solicitada.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Responde con más de 2 días de atraso o 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No responde.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Poppins" w:cs="Poppins" w:eastAsia="Poppins" w:hAnsi="Poppi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4"/>
                <w:szCs w:val="24"/>
                <w:rtl w:val="0"/>
              </w:rPr>
              <w:t xml:space="preserve">PUNTAJE TOTAL /NOTA</w:t>
            </w:r>
          </w:p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6700" w:val="clear"/>
          </w:tcPr>
          <w:p w:rsidR="00000000" w:rsidDel="00000000" w:rsidP="00000000" w:rsidRDefault="00000000" w:rsidRPr="00000000" w14:paraId="0000003A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sz w:val="32"/>
          <w:szCs w:val="32"/>
          <w:rtl w:val="0"/>
        </w:rPr>
        <w:t xml:space="preserve">ESCALA DE PUNTAJE</w:t>
      </w:r>
    </w:p>
    <w:p w:rsidR="00000000" w:rsidDel="00000000" w:rsidP="00000000" w:rsidRDefault="00000000" w:rsidRPr="00000000" w14:paraId="0000003D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2762250" cy="2457450"/>
            <wp:effectExtent b="0" l="0" r="0" t="0"/>
            <wp:docPr id="117038427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457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center"/>
        <w:rPr>
          <w:rFonts w:ascii="Poppins" w:cs="Poppins" w:eastAsia="Poppins" w:hAnsi="Poppi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ind w:left="708" w:firstLine="0"/>
        <w:rPr>
          <w:rFonts w:ascii="Poppins" w:cs="Poppins" w:eastAsia="Poppins" w:hAnsi="Poppi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Poppins" w:cs="Poppins" w:eastAsia="Poppins" w:hAnsi="Poppi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20160" w:w="12240" w:orient="portrait"/>
      <w:pgMar w:bottom="1417" w:top="14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befor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-1047749</wp:posOffset>
          </wp:positionH>
          <wp:positionV relativeFrom="paragraph">
            <wp:posOffset>304800</wp:posOffset>
          </wp:positionV>
          <wp:extent cx="1907627" cy="1324303"/>
          <wp:effectExtent b="0" l="0" r="0" t="0"/>
          <wp:wrapNone/>
          <wp:docPr id="11703842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112807" l="0" r="64674" t="1"/>
                  <a:stretch>
                    <a:fillRect/>
                  </a:stretch>
                </pic:blipFill>
                <pic:spPr>
                  <a:xfrm>
                    <a:off x="0" y="0"/>
                    <a:ext cx="1907627" cy="132430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304800</wp:posOffset>
              </wp:positionV>
              <wp:extent cx="5357711" cy="624380"/>
              <wp:effectExtent b="0" l="0" r="0" t="0"/>
              <wp:wrapNone/>
              <wp:docPr id="117038427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71907" y="3472573"/>
                        <a:ext cx="5348186" cy="6148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24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Poppins" w:cs="Poppins" w:eastAsia="Poppins" w:hAnsi="Poppins"/>
                              <w:b w:val="1"/>
                              <w:i w:val="0"/>
                              <w:smallCaps w:val="0"/>
                              <w:strike w:val="0"/>
                              <w:color w:val="222a35"/>
                              <w:sz w:val="20"/>
                              <w:vertAlign w:val="baseline"/>
                            </w:rPr>
                            <w:t xml:space="preserve">Técnicas para Aplicar Evaluación de Desempeño bajo el Modelo de Gestión por Competencias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304800</wp:posOffset>
              </wp:positionV>
              <wp:extent cx="5357711" cy="624380"/>
              <wp:effectExtent b="0" l="0" r="0" t="0"/>
              <wp:wrapNone/>
              <wp:docPr id="117038427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57711" cy="624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673E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760F25"/>
    <w:pPr>
      <w:spacing w:after="0" w:line="240" w:lineRule="auto"/>
    </w:pPr>
    <w:tblPr>
      <w:tblBorders>
        <w:top w:color="auto" w:space="0" w:sz="12" w:val="single"/>
        <w:left w:color="auto" w:space="0" w:sz="12" w:val="single"/>
        <w:bottom w:color="auto" w:space="0" w:sz="12" w:val="single"/>
        <w:right w:color="auto" w:space="0" w:sz="12" w:val="single"/>
        <w:insideH w:color="auto" w:space="0" w:sz="12" w:val="single"/>
        <w:insideV w:color="auto" w:space="0" w:sz="12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B673E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FB673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B673E"/>
    <w:rPr>
      <w:lang w:val="es-CL"/>
    </w:rPr>
  </w:style>
  <w:style w:type="paragraph" w:styleId="Sinespaciado">
    <w:name w:val="No Spacing"/>
    <w:link w:val="SinespaciadoCar"/>
    <w:uiPriority w:val="1"/>
    <w:qFormat w:val="1"/>
    <w:rsid w:val="00FB673E"/>
    <w:pPr>
      <w:spacing w:after="0" w:line="240" w:lineRule="auto"/>
    </w:pPr>
    <w:rPr>
      <w:rFonts w:eastAsiaTheme="minorEastAsia"/>
      <w:kern w:val="0"/>
      <w:lang w:eastAsia="es-ES" w:val="es-ES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FB673E"/>
    <w:rPr>
      <w:rFonts w:eastAsiaTheme="minorEastAsia"/>
      <w:kern w:val="0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B673E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B957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character" w:styleId="Textoennegrita">
    <w:name w:val="Strong"/>
    <w:basedOn w:val="Fuentedeprrafopredeter"/>
    <w:uiPriority w:val="22"/>
    <w:qFormat w:val="1"/>
    <w:rsid w:val="00B9572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XHErPHucILQQmroTotJdKCuOg==">CgMxLjAyCGguZ2pkZ3hzOAByITFyMHhSMFhGakpRTUdiajdpWjlVSHpyYl9hNjY1OEJUeA==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2024-02-05T17:12:00Z</dcterms:created>
  <dc:creator>CAMILA ESTEFANIA AQUEVEQUE MUNOZ</dc:creator>
</cp:coreProperties>
</file>