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DDB" w:rsidRPr="005A5DE9" w:rsidRDefault="00846DDB" w:rsidP="00846DDB">
      <w:pPr>
        <w:pStyle w:val="Ttulo2"/>
        <w:spacing w:after="116"/>
        <w:rPr>
          <w:rFonts w:asciiTheme="minorHAnsi" w:hAnsiTheme="minorHAnsi"/>
        </w:rPr>
      </w:pPr>
      <w:r w:rsidRPr="005A5DE9">
        <w:rPr>
          <w:rFonts w:asciiTheme="minorHAnsi" w:hAnsiTheme="minorHAnsi"/>
        </w:rPr>
        <w:t>MINISTERIO DEL TRABAJO Y PREVISIÓN SOCIAL</w:t>
      </w:r>
    </w:p>
    <w:p w:rsidR="00846DDB" w:rsidRPr="005A5DE9" w:rsidRDefault="00846DDB" w:rsidP="00846DDB">
      <w:pPr>
        <w:spacing w:after="120" w:line="259" w:lineRule="auto"/>
        <w:ind w:left="0" w:right="42" w:firstLine="0"/>
        <w:jc w:val="center"/>
        <w:rPr>
          <w:rFonts w:asciiTheme="minorHAnsi" w:hAnsiTheme="minorHAnsi"/>
          <w:sz w:val="22"/>
        </w:rPr>
      </w:pPr>
      <w:r w:rsidRPr="005A5DE9">
        <w:rPr>
          <w:rFonts w:asciiTheme="minorHAnsi" w:hAnsiTheme="minorHAnsi"/>
          <w:sz w:val="22"/>
        </w:rPr>
        <w:t>Subsecretaría de Previsión Social / Superintendencia de Pensiones</w:t>
      </w:r>
    </w:p>
    <w:p w:rsidR="00846DDB" w:rsidRPr="005A5DE9" w:rsidRDefault="00846DDB" w:rsidP="00846DDB">
      <w:pPr>
        <w:spacing w:line="259" w:lineRule="auto"/>
        <w:ind w:left="133" w:hanging="10"/>
        <w:jc w:val="center"/>
        <w:rPr>
          <w:rFonts w:asciiTheme="minorHAnsi" w:hAnsiTheme="minorHAnsi"/>
          <w:sz w:val="22"/>
        </w:rPr>
      </w:pPr>
      <w:r w:rsidRPr="005A5DE9">
        <w:rPr>
          <w:rFonts w:asciiTheme="minorHAnsi" w:hAnsiTheme="minorHAnsi"/>
          <w:b/>
          <w:sz w:val="22"/>
        </w:rPr>
        <w:t>ESTABLECE LÍMITE MÁXIMO IMPONIBLE QUE INDICA</w:t>
      </w:r>
    </w:p>
    <w:p w:rsidR="00846DDB" w:rsidRPr="005A5DE9" w:rsidRDefault="00846DDB" w:rsidP="00846DDB">
      <w:pPr>
        <w:spacing w:line="259" w:lineRule="auto"/>
        <w:ind w:left="123" w:firstLine="0"/>
        <w:jc w:val="center"/>
        <w:rPr>
          <w:rFonts w:asciiTheme="minorHAnsi" w:hAnsiTheme="minorHAnsi"/>
          <w:sz w:val="22"/>
        </w:rPr>
      </w:pPr>
      <w:r w:rsidRPr="005A5DE9">
        <w:rPr>
          <w:rFonts w:asciiTheme="minorHAnsi" w:hAnsiTheme="minorHAnsi"/>
          <w:sz w:val="22"/>
        </w:rPr>
        <w:t xml:space="preserve"> </w:t>
      </w:r>
    </w:p>
    <w:p w:rsidR="00846DDB" w:rsidRPr="005A5DE9" w:rsidRDefault="00846DDB" w:rsidP="00846DDB">
      <w:pPr>
        <w:spacing w:line="259" w:lineRule="auto"/>
        <w:ind w:left="133" w:hanging="10"/>
        <w:jc w:val="center"/>
        <w:rPr>
          <w:rFonts w:asciiTheme="minorHAnsi" w:hAnsiTheme="minorHAnsi"/>
          <w:sz w:val="22"/>
        </w:rPr>
      </w:pPr>
      <w:r w:rsidRPr="005A5DE9">
        <w:rPr>
          <w:rFonts w:asciiTheme="minorHAnsi" w:hAnsiTheme="minorHAnsi"/>
          <w:b/>
          <w:sz w:val="22"/>
        </w:rPr>
        <w:t>(Resolución)</w:t>
      </w:r>
    </w:p>
    <w:p w:rsidR="005A24DB" w:rsidRPr="005A5DE9" w:rsidRDefault="005A24DB" w:rsidP="00846DDB">
      <w:pPr>
        <w:ind w:left="0" w:firstLine="0"/>
        <w:rPr>
          <w:rFonts w:asciiTheme="minorHAnsi" w:hAnsiTheme="minorHAnsi"/>
          <w:sz w:val="22"/>
        </w:rPr>
      </w:pPr>
    </w:p>
    <w:p w:rsidR="00846DDB" w:rsidRPr="005A5DE9" w:rsidRDefault="00846DDB" w:rsidP="00846DDB">
      <w:pPr>
        <w:ind w:left="0" w:firstLine="0"/>
        <w:rPr>
          <w:rFonts w:asciiTheme="minorHAnsi" w:hAnsiTheme="minorHAnsi"/>
          <w:sz w:val="22"/>
        </w:rPr>
      </w:pPr>
      <w:r w:rsidRPr="005A5DE9">
        <w:rPr>
          <w:rFonts w:asciiTheme="minorHAnsi" w:hAnsiTheme="minorHAnsi"/>
          <w:sz w:val="22"/>
        </w:rPr>
        <w:t>Núm. 9 exenta.- Santiago, 5 de enero de 2017.</w:t>
      </w:r>
    </w:p>
    <w:p w:rsidR="00846DDB" w:rsidRPr="005A5DE9" w:rsidRDefault="00846DDB" w:rsidP="00846DDB">
      <w:pPr>
        <w:ind w:left="0" w:firstLine="0"/>
        <w:rPr>
          <w:rFonts w:asciiTheme="minorHAnsi" w:hAnsiTheme="minorHAnsi"/>
          <w:sz w:val="22"/>
        </w:rPr>
      </w:pPr>
      <w:r w:rsidRPr="005A5DE9">
        <w:rPr>
          <w:rFonts w:asciiTheme="minorHAnsi" w:hAnsiTheme="minorHAnsi"/>
          <w:sz w:val="22"/>
        </w:rPr>
        <w:t xml:space="preserve"> </w:t>
      </w:r>
    </w:p>
    <w:p w:rsidR="00846DDB" w:rsidRPr="005A5DE9" w:rsidRDefault="00846DDB" w:rsidP="00846DDB">
      <w:pPr>
        <w:ind w:left="0" w:firstLine="0"/>
        <w:rPr>
          <w:rFonts w:asciiTheme="minorHAnsi" w:hAnsiTheme="minorHAnsi"/>
          <w:sz w:val="22"/>
        </w:rPr>
      </w:pPr>
      <w:r w:rsidRPr="005A5DE9">
        <w:rPr>
          <w:rFonts w:asciiTheme="minorHAnsi" w:hAnsiTheme="minorHAnsi"/>
          <w:sz w:val="22"/>
        </w:rPr>
        <w:t>Publicada diario Oficial: 14.01.2017</w:t>
      </w:r>
    </w:p>
    <w:p w:rsidR="00846DDB" w:rsidRPr="005A5DE9" w:rsidRDefault="00846DDB" w:rsidP="00846DDB">
      <w:pPr>
        <w:ind w:left="0" w:firstLine="0"/>
        <w:rPr>
          <w:rFonts w:asciiTheme="minorHAnsi" w:hAnsiTheme="minorHAnsi"/>
          <w:sz w:val="22"/>
        </w:rPr>
      </w:pPr>
    </w:p>
    <w:p w:rsidR="00846DDB" w:rsidRPr="005A5DE9" w:rsidRDefault="00846DDB" w:rsidP="00846DDB">
      <w:pPr>
        <w:ind w:left="0" w:firstLine="0"/>
        <w:rPr>
          <w:rFonts w:asciiTheme="minorHAnsi" w:hAnsiTheme="minorHAnsi"/>
          <w:b/>
          <w:sz w:val="22"/>
        </w:rPr>
      </w:pPr>
      <w:r w:rsidRPr="005A5DE9">
        <w:rPr>
          <w:rFonts w:asciiTheme="minorHAnsi" w:hAnsiTheme="minorHAnsi"/>
          <w:b/>
          <w:sz w:val="22"/>
        </w:rPr>
        <w:t>Vistos:</w:t>
      </w:r>
    </w:p>
    <w:p w:rsidR="00846DDB" w:rsidRPr="005A5DE9" w:rsidRDefault="00846DDB" w:rsidP="00846DDB">
      <w:pPr>
        <w:ind w:left="0" w:firstLine="0"/>
        <w:rPr>
          <w:rFonts w:asciiTheme="minorHAnsi" w:hAnsiTheme="minorHAnsi"/>
          <w:sz w:val="22"/>
        </w:rPr>
      </w:pPr>
      <w:r w:rsidRPr="005A5DE9">
        <w:rPr>
          <w:rFonts w:asciiTheme="minorHAnsi" w:hAnsiTheme="minorHAnsi"/>
          <w:sz w:val="22"/>
        </w:rPr>
        <w:t xml:space="preserve"> </w:t>
      </w:r>
    </w:p>
    <w:p w:rsidR="00846DDB" w:rsidRPr="005A5DE9" w:rsidRDefault="00846DDB" w:rsidP="00846DDB">
      <w:pPr>
        <w:ind w:left="0" w:firstLine="0"/>
        <w:rPr>
          <w:rFonts w:asciiTheme="minorHAnsi" w:hAnsiTheme="minorHAnsi"/>
          <w:sz w:val="22"/>
        </w:rPr>
      </w:pPr>
      <w:r w:rsidRPr="005A5DE9">
        <w:rPr>
          <w:rFonts w:asciiTheme="minorHAnsi" w:hAnsiTheme="minorHAnsi"/>
          <w:sz w:val="22"/>
        </w:rPr>
        <w:t>a) Los artículos 16 y 84 del DL Nº 3.500, de 1980; b) Los artículos 137 y 171 del DFL Nº 1/2005, del Ministerio de Salud y el artículo 17 de la ley Nº 16.744; c) El artículo 48, letra a) de la ley Nº 19.880 y el artículo 7º letra g) de la ley Nº 20.285, y d) Las facultades que me confiere el artículo 49 de la ley Nº 20.255.</w:t>
      </w:r>
    </w:p>
    <w:p w:rsidR="00846DDB" w:rsidRPr="005A5DE9" w:rsidRDefault="00846DDB" w:rsidP="00846DDB">
      <w:pPr>
        <w:ind w:left="0" w:firstLine="0"/>
        <w:rPr>
          <w:rFonts w:asciiTheme="minorHAnsi" w:hAnsiTheme="minorHAnsi"/>
          <w:sz w:val="22"/>
        </w:rPr>
      </w:pPr>
    </w:p>
    <w:p w:rsidR="00846DDB" w:rsidRPr="005A5DE9" w:rsidRDefault="00846DDB" w:rsidP="00846DDB">
      <w:pPr>
        <w:ind w:left="0" w:firstLine="0"/>
        <w:rPr>
          <w:rFonts w:asciiTheme="minorHAnsi" w:hAnsiTheme="minorHAnsi"/>
          <w:b/>
          <w:sz w:val="22"/>
        </w:rPr>
      </w:pPr>
      <w:r w:rsidRPr="005A5DE9">
        <w:rPr>
          <w:rFonts w:asciiTheme="minorHAnsi" w:hAnsiTheme="minorHAnsi"/>
          <w:b/>
          <w:sz w:val="22"/>
        </w:rPr>
        <w:t>Considerando:</w:t>
      </w:r>
    </w:p>
    <w:p w:rsidR="00846DDB" w:rsidRPr="005A5DE9" w:rsidRDefault="00846DDB" w:rsidP="00846DDB">
      <w:pPr>
        <w:ind w:left="0" w:firstLine="0"/>
        <w:rPr>
          <w:rFonts w:asciiTheme="minorHAnsi" w:hAnsiTheme="minorHAnsi"/>
          <w:sz w:val="22"/>
        </w:rPr>
      </w:pPr>
      <w:r w:rsidRPr="005A5DE9">
        <w:rPr>
          <w:rFonts w:asciiTheme="minorHAnsi" w:hAnsiTheme="minorHAnsi"/>
          <w:sz w:val="22"/>
        </w:rPr>
        <w:t xml:space="preserve"> </w:t>
      </w:r>
    </w:p>
    <w:p w:rsidR="00846DDB" w:rsidRDefault="00846DDB" w:rsidP="00846DDB">
      <w:pPr>
        <w:pStyle w:val="Prrafodelista"/>
        <w:numPr>
          <w:ilvl w:val="0"/>
          <w:numId w:val="3"/>
        </w:numPr>
        <w:rPr>
          <w:rFonts w:asciiTheme="minorHAnsi" w:hAnsiTheme="minorHAnsi"/>
          <w:sz w:val="22"/>
        </w:rPr>
      </w:pPr>
      <w:r w:rsidRPr="005A5DE9">
        <w:rPr>
          <w:rFonts w:asciiTheme="minorHAnsi" w:hAnsiTheme="minorHAnsi"/>
          <w:sz w:val="22"/>
        </w:rPr>
        <w:t xml:space="preserve">Que de acuerdo a lo dispuesto en el inciso primero del artículo 16 del DL Nº 3.500, de 1980, la remuneración y renta mensual tendrán un límite máximo imponible de sesenta unidades de fomento reajustadas considerando la variación del Índice de Remuneraciones Reales determinadas por el Instituto Nacional de Estadísticas entre noviembre del año </w:t>
      </w:r>
      <w:proofErr w:type="spellStart"/>
      <w:r w:rsidRPr="005A5DE9">
        <w:rPr>
          <w:rFonts w:asciiTheme="minorHAnsi" w:hAnsiTheme="minorHAnsi"/>
          <w:sz w:val="22"/>
        </w:rPr>
        <w:t>anteprecedente</w:t>
      </w:r>
      <w:proofErr w:type="spellEnd"/>
      <w:r w:rsidRPr="005A5DE9">
        <w:rPr>
          <w:rFonts w:asciiTheme="minorHAnsi" w:hAnsiTheme="minorHAnsi"/>
          <w:sz w:val="22"/>
        </w:rPr>
        <w:t xml:space="preserve"> y noviembre del precedente, respecto del año en que comenzará a aplicarse.</w:t>
      </w:r>
    </w:p>
    <w:p w:rsidR="005A5DE9" w:rsidRPr="005A5DE9" w:rsidRDefault="005A5DE9" w:rsidP="005A5DE9">
      <w:pPr>
        <w:pStyle w:val="Prrafodelista"/>
        <w:ind w:left="360" w:firstLine="0"/>
        <w:rPr>
          <w:rFonts w:asciiTheme="minorHAnsi" w:hAnsiTheme="minorHAnsi"/>
          <w:sz w:val="22"/>
        </w:rPr>
      </w:pPr>
    </w:p>
    <w:p w:rsidR="00846DDB" w:rsidRDefault="00846DDB" w:rsidP="00846DDB">
      <w:pPr>
        <w:pStyle w:val="Prrafodelista"/>
        <w:numPr>
          <w:ilvl w:val="0"/>
          <w:numId w:val="3"/>
        </w:numPr>
        <w:rPr>
          <w:rFonts w:asciiTheme="minorHAnsi" w:hAnsiTheme="minorHAnsi"/>
          <w:sz w:val="22"/>
        </w:rPr>
      </w:pPr>
      <w:r w:rsidRPr="005A5DE9">
        <w:rPr>
          <w:rFonts w:asciiTheme="minorHAnsi" w:hAnsiTheme="minorHAnsi"/>
          <w:sz w:val="22"/>
        </w:rPr>
        <w:t>Que la Superintendencia de Pensiones deberá determinar a través de una resolución, el tope imponible que se utilizará para el cálculo de las cotizaciones previsionales a que se refiere el Título III y el artículo 84 del decreto ley Nº 3.500, de 1980.</w:t>
      </w:r>
    </w:p>
    <w:p w:rsidR="005A5DE9" w:rsidRPr="005A5DE9" w:rsidRDefault="005A5DE9" w:rsidP="005A5DE9">
      <w:pPr>
        <w:pStyle w:val="Prrafodelista"/>
        <w:ind w:left="360" w:firstLine="0"/>
        <w:rPr>
          <w:rFonts w:asciiTheme="minorHAnsi" w:hAnsiTheme="minorHAnsi"/>
          <w:sz w:val="22"/>
        </w:rPr>
      </w:pPr>
    </w:p>
    <w:p w:rsidR="00846DDB" w:rsidRDefault="00846DDB" w:rsidP="00846DDB">
      <w:pPr>
        <w:pStyle w:val="Prrafodelista"/>
        <w:numPr>
          <w:ilvl w:val="0"/>
          <w:numId w:val="3"/>
        </w:numPr>
        <w:rPr>
          <w:rFonts w:asciiTheme="minorHAnsi" w:hAnsiTheme="minorHAnsi"/>
          <w:sz w:val="22"/>
        </w:rPr>
      </w:pPr>
      <w:r w:rsidRPr="005A5DE9">
        <w:rPr>
          <w:rFonts w:asciiTheme="minorHAnsi" w:hAnsiTheme="minorHAnsi"/>
          <w:sz w:val="22"/>
        </w:rPr>
        <w:t>Que el tope imponible será reajustado siempre que la variación del Índice de Remuneraciones Reales sea positiva. En el caso de que dicha variación fuese negativa, el tope imponible mantendrá su valor vigente en unidades de fomento.</w:t>
      </w:r>
    </w:p>
    <w:p w:rsidR="005A5DE9" w:rsidRPr="005A5DE9" w:rsidRDefault="005A5DE9" w:rsidP="005A5DE9">
      <w:pPr>
        <w:pStyle w:val="Prrafodelista"/>
        <w:ind w:left="360" w:firstLine="0"/>
        <w:rPr>
          <w:rFonts w:asciiTheme="minorHAnsi" w:hAnsiTheme="minorHAnsi"/>
          <w:sz w:val="22"/>
        </w:rPr>
      </w:pPr>
    </w:p>
    <w:p w:rsidR="00846DDB" w:rsidRDefault="00846DDB" w:rsidP="00846DDB">
      <w:pPr>
        <w:pStyle w:val="Prrafodelista"/>
        <w:numPr>
          <w:ilvl w:val="0"/>
          <w:numId w:val="3"/>
        </w:numPr>
        <w:rPr>
          <w:rFonts w:asciiTheme="minorHAnsi" w:hAnsiTheme="minorHAnsi"/>
          <w:sz w:val="22"/>
        </w:rPr>
      </w:pPr>
      <w:r w:rsidRPr="005A5DE9">
        <w:rPr>
          <w:rFonts w:asciiTheme="minorHAnsi" w:hAnsiTheme="minorHAnsi"/>
          <w:sz w:val="22"/>
        </w:rPr>
        <w:t>Que mediante resolución exenta Nº 25, de fecha 7 de enero de 2016, la Superintendencia de Pensiones determinó que desde el 1 de enero de 2016, el límite máximo imponible reajustado de acuerdo a los considerandos anteriores, ascendió a 74,3 Unidades de Fomento.</w:t>
      </w:r>
    </w:p>
    <w:p w:rsidR="005A5DE9" w:rsidRPr="005A5DE9" w:rsidRDefault="005A5DE9" w:rsidP="005A5DE9">
      <w:pPr>
        <w:pStyle w:val="Prrafodelista"/>
        <w:ind w:left="360" w:firstLine="0"/>
        <w:rPr>
          <w:rFonts w:asciiTheme="minorHAnsi" w:hAnsiTheme="minorHAnsi"/>
          <w:sz w:val="22"/>
        </w:rPr>
      </w:pPr>
    </w:p>
    <w:p w:rsidR="00846DDB" w:rsidRPr="005A5DE9" w:rsidRDefault="00846DDB" w:rsidP="00846DDB">
      <w:pPr>
        <w:pStyle w:val="Prrafodelista"/>
        <w:numPr>
          <w:ilvl w:val="0"/>
          <w:numId w:val="3"/>
        </w:numPr>
        <w:rPr>
          <w:rFonts w:asciiTheme="minorHAnsi" w:hAnsiTheme="minorHAnsi"/>
          <w:sz w:val="22"/>
        </w:rPr>
      </w:pPr>
      <w:r w:rsidRPr="005A5DE9">
        <w:rPr>
          <w:rFonts w:asciiTheme="minorHAnsi" w:hAnsiTheme="minorHAnsi"/>
          <w:sz w:val="22"/>
        </w:rPr>
        <w:t>Que la variación del Índice de Remuneraciones Reales determinada por el Instituto Nacional de Estadísticas entre noviembre de 2015 y noviembre de 2016 alcanzó a 1,9%.</w:t>
      </w:r>
    </w:p>
    <w:p w:rsidR="00846DDB" w:rsidRPr="005A5DE9" w:rsidRDefault="00846DDB" w:rsidP="00846DDB">
      <w:pPr>
        <w:ind w:left="0" w:firstLine="0"/>
        <w:rPr>
          <w:rFonts w:asciiTheme="minorHAnsi" w:hAnsiTheme="minorHAnsi"/>
          <w:sz w:val="22"/>
        </w:rPr>
      </w:pPr>
      <w:r w:rsidRPr="005A5DE9">
        <w:rPr>
          <w:rFonts w:asciiTheme="minorHAnsi" w:hAnsiTheme="minorHAnsi"/>
          <w:sz w:val="22"/>
        </w:rPr>
        <w:t xml:space="preserve"> </w:t>
      </w:r>
    </w:p>
    <w:p w:rsidR="00846DDB" w:rsidRPr="005A5DE9" w:rsidRDefault="00846DDB" w:rsidP="00846DDB">
      <w:pPr>
        <w:ind w:left="0" w:firstLine="0"/>
        <w:rPr>
          <w:rFonts w:asciiTheme="minorHAnsi" w:hAnsiTheme="minorHAnsi"/>
          <w:b/>
          <w:sz w:val="22"/>
        </w:rPr>
      </w:pPr>
      <w:r w:rsidRPr="005A5DE9">
        <w:rPr>
          <w:rFonts w:asciiTheme="minorHAnsi" w:hAnsiTheme="minorHAnsi"/>
          <w:b/>
          <w:sz w:val="22"/>
        </w:rPr>
        <w:t>Resuelvo:</w:t>
      </w:r>
    </w:p>
    <w:p w:rsidR="00846DDB" w:rsidRPr="005A5DE9" w:rsidRDefault="00846DDB" w:rsidP="00846DDB">
      <w:pPr>
        <w:ind w:left="0" w:firstLine="0"/>
        <w:rPr>
          <w:rFonts w:asciiTheme="minorHAnsi" w:hAnsiTheme="minorHAnsi"/>
          <w:sz w:val="22"/>
        </w:rPr>
      </w:pPr>
      <w:r w:rsidRPr="005A5DE9">
        <w:rPr>
          <w:rFonts w:asciiTheme="minorHAnsi" w:hAnsiTheme="minorHAnsi"/>
          <w:sz w:val="22"/>
        </w:rPr>
        <w:t xml:space="preserve"> </w:t>
      </w:r>
    </w:p>
    <w:p w:rsidR="00846DDB" w:rsidRPr="005A5DE9" w:rsidRDefault="00846DDB" w:rsidP="00846DDB">
      <w:pPr>
        <w:pStyle w:val="Prrafodelista"/>
        <w:numPr>
          <w:ilvl w:val="0"/>
          <w:numId w:val="4"/>
        </w:numPr>
        <w:rPr>
          <w:rFonts w:asciiTheme="minorHAnsi" w:hAnsiTheme="minorHAnsi"/>
          <w:sz w:val="22"/>
        </w:rPr>
      </w:pPr>
      <w:proofErr w:type="spellStart"/>
      <w:r w:rsidRPr="005A5DE9">
        <w:rPr>
          <w:rFonts w:asciiTheme="minorHAnsi" w:hAnsiTheme="minorHAnsi"/>
          <w:sz w:val="22"/>
        </w:rPr>
        <w:t>Establécese</w:t>
      </w:r>
      <w:proofErr w:type="spellEnd"/>
      <w:r w:rsidRPr="005A5DE9">
        <w:rPr>
          <w:rFonts w:asciiTheme="minorHAnsi" w:hAnsiTheme="minorHAnsi"/>
          <w:sz w:val="22"/>
        </w:rPr>
        <w:t xml:space="preserve"> que desde el 1 de enero de 2017, el límite máximo imponible reajustado según lo expuesto en los considerandos anteriores, será de 75,7 Unidades de Fomento.</w:t>
      </w:r>
    </w:p>
    <w:p w:rsidR="00846DDB" w:rsidRPr="005A5DE9" w:rsidRDefault="00846DDB" w:rsidP="00846DDB">
      <w:pPr>
        <w:pStyle w:val="Prrafodelista"/>
        <w:numPr>
          <w:ilvl w:val="0"/>
          <w:numId w:val="4"/>
        </w:numPr>
        <w:rPr>
          <w:rFonts w:asciiTheme="minorHAnsi" w:hAnsiTheme="minorHAnsi"/>
          <w:sz w:val="22"/>
        </w:rPr>
      </w:pPr>
      <w:r w:rsidRPr="005A5DE9">
        <w:rPr>
          <w:rFonts w:asciiTheme="minorHAnsi" w:hAnsiTheme="minorHAnsi"/>
          <w:sz w:val="22"/>
        </w:rPr>
        <w:t>Publíquese la presente resolución en el Diario Oficial y en el sitio web de la Superintendencia de Pensiones, de conformidad a lo dispuesto en el artículo 48, letra a) de la ley Nº 19.880 y en el artículo 7º letra g) de la ley Nº 20.285, respectivamente.</w:t>
      </w:r>
    </w:p>
    <w:p w:rsidR="00846DDB" w:rsidRPr="005A5DE9" w:rsidRDefault="00846DDB" w:rsidP="00846DDB">
      <w:pPr>
        <w:ind w:left="0" w:firstLine="0"/>
        <w:rPr>
          <w:rFonts w:asciiTheme="minorHAnsi" w:hAnsiTheme="minorHAnsi"/>
          <w:sz w:val="22"/>
        </w:rPr>
      </w:pPr>
      <w:r w:rsidRPr="005A5DE9">
        <w:rPr>
          <w:rFonts w:asciiTheme="minorHAnsi" w:hAnsiTheme="minorHAnsi"/>
          <w:sz w:val="22"/>
        </w:rPr>
        <w:t xml:space="preserve"> </w:t>
      </w:r>
    </w:p>
    <w:p w:rsidR="00846DDB" w:rsidRPr="005A5DE9" w:rsidRDefault="00846DDB" w:rsidP="00846DDB">
      <w:pPr>
        <w:ind w:left="0" w:firstLine="0"/>
        <w:rPr>
          <w:rFonts w:asciiTheme="minorHAnsi" w:hAnsiTheme="minorHAnsi"/>
          <w:sz w:val="22"/>
        </w:rPr>
      </w:pPr>
      <w:r w:rsidRPr="005A5DE9">
        <w:rPr>
          <w:rFonts w:asciiTheme="minorHAnsi" w:hAnsiTheme="minorHAnsi"/>
          <w:sz w:val="22"/>
        </w:rPr>
        <w:t>Anótese, comuníquese y publíquese.- Osvaldo Macías Muñoz, Superintendente de Pensiones.</w:t>
      </w:r>
      <w:bookmarkStart w:id="0" w:name="_GoBack"/>
      <w:bookmarkEnd w:id="0"/>
    </w:p>
    <w:sectPr w:rsidR="00846DDB" w:rsidRPr="005A5DE9" w:rsidSect="003F1E9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F62EA"/>
    <w:multiLevelType w:val="hybridMultilevel"/>
    <w:tmpl w:val="C8526CB4"/>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15:restartNumberingAfterBreak="0">
    <w:nsid w:val="1EA2655C"/>
    <w:multiLevelType w:val="hybridMultilevel"/>
    <w:tmpl w:val="ADDC4050"/>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15:restartNumberingAfterBreak="0">
    <w:nsid w:val="461E1E01"/>
    <w:multiLevelType w:val="hybridMultilevel"/>
    <w:tmpl w:val="9E2A293A"/>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15:restartNumberingAfterBreak="0">
    <w:nsid w:val="480937F5"/>
    <w:multiLevelType w:val="hybridMultilevel"/>
    <w:tmpl w:val="215E9C3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4DB"/>
    <w:rsid w:val="003F1E92"/>
    <w:rsid w:val="0057430E"/>
    <w:rsid w:val="005A24DB"/>
    <w:rsid w:val="005A5DE9"/>
    <w:rsid w:val="00846DDB"/>
    <w:rsid w:val="00920FC9"/>
    <w:rsid w:val="00A36AF3"/>
    <w:rsid w:val="00F07D5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9B9038-119B-454E-BB0B-B5159F74B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DDB"/>
    <w:pPr>
      <w:spacing w:line="224" w:lineRule="auto"/>
      <w:ind w:left="1258" w:firstLine="440"/>
      <w:jc w:val="both"/>
    </w:pPr>
    <w:rPr>
      <w:rFonts w:ascii="Times New Roman" w:eastAsia="Times New Roman" w:hAnsi="Times New Roman" w:cs="Times New Roman"/>
      <w:color w:val="000000"/>
      <w:sz w:val="23"/>
      <w:lang w:eastAsia="es-CL"/>
    </w:rPr>
  </w:style>
  <w:style w:type="paragraph" w:styleId="Ttulo2">
    <w:name w:val="heading 2"/>
    <w:next w:val="Normal"/>
    <w:link w:val="Ttulo2Car"/>
    <w:uiPriority w:val="9"/>
    <w:unhideWhenUsed/>
    <w:qFormat/>
    <w:rsid w:val="00846DDB"/>
    <w:pPr>
      <w:keepNext/>
      <w:keepLines/>
      <w:spacing w:line="259" w:lineRule="auto"/>
      <w:ind w:left="10" w:right="42" w:hanging="10"/>
      <w:jc w:val="center"/>
      <w:outlineLvl w:val="1"/>
    </w:pPr>
    <w:rPr>
      <w:rFonts w:ascii="Times New Roman" w:eastAsia="Times New Roman" w:hAnsi="Times New Roman" w:cs="Times New Roman"/>
      <w:b/>
      <w:color w:val="000000"/>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A24DB"/>
    <w:pPr>
      <w:ind w:left="720"/>
      <w:contextualSpacing/>
    </w:pPr>
  </w:style>
  <w:style w:type="table" w:styleId="Tablaconcuadrcula">
    <w:name w:val="Table Grid"/>
    <w:basedOn w:val="Tablanormal"/>
    <w:uiPriority w:val="59"/>
    <w:rsid w:val="005743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846DDB"/>
    <w:rPr>
      <w:rFonts w:ascii="Times New Roman" w:eastAsia="Times New Roman" w:hAnsi="Times New Roman" w:cs="Times New Roman"/>
      <w:b/>
      <w:color w:val="000000"/>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811230">
      <w:bodyDiv w:val="1"/>
      <w:marLeft w:val="0"/>
      <w:marRight w:val="0"/>
      <w:marTop w:val="0"/>
      <w:marBottom w:val="0"/>
      <w:divBdr>
        <w:top w:val="none" w:sz="0" w:space="0" w:color="auto"/>
        <w:left w:val="none" w:sz="0" w:space="0" w:color="auto"/>
        <w:bottom w:val="none" w:sz="0" w:space="0" w:color="auto"/>
        <w:right w:val="none" w:sz="0" w:space="0" w:color="auto"/>
      </w:divBdr>
    </w:div>
    <w:div w:id="402987689">
      <w:bodyDiv w:val="1"/>
      <w:marLeft w:val="0"/>
      <w:marRight w:val="0"/>
      <w:marTop w:val="0"/>
      <w:marBottom w:val="0"/>
      <w:divBdr>
        <w:top w:val="none" w:sz="0" w:space="0" w:color="auto"/>
        <w:left w:val="none" w:sz="0" w:space="0" w:color="auto"/>
        <w:bottom w:val="none" w:sz="0" w:space="0" w:color="auto"/>
        <w:right w:val="none" w:sz="0" w:space="0" w:color="auto"/>
      </w:divBdr>
    </w:div>
    <w:div w:id="126040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2102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ROBINSON ZEPEDA GOMEZ</dc:creator>
  <cp:lastModifiedBy>Usuario</cp:lastModifiedBy>
  <cp:revision>2</cp:revision>
  <dcterms:created xsi:type="dcterms:W3CDTF">2017-03-14T18:13:00Z</dcterms:created>
  <dcterms:modified xsi:type="dcterms:W3CDTF">2017-03-14T18:13:00Z</dcterms:modified>
</cp:coreProperties>
</file>